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55B"/>
          <w:sz w:val="48"/>
        </w:rPr>
        <w:t>Triad LeadClean Sample Report Guide</w:t>
      </w:r>
    </w:p>
    <w:p>
      <w:pPr>
        <w:jc w:val="center"/>
      </w:pPr>
      <w:r>
        <w:rPr>
          <w:color w:val="5F6C7B"/>
          <w:sz w:val="24"/>
        </w:rPr>
        <w:t>Manager-facing explanation for the v23.6.4 sample report</w:t>
      </w:r>
    </w:p>
    <w:tbl>
      <w:tblPr>
        <w:tblW w:type="auto" w:w="0"/>
        <w:jc w:val="center"/>
        <w:tblLook w:firstColumn="1" w:firstRow="1" w:lastColumn="0" w:lastRow="0" w:noHBand="0" w:noVBand="1" w:val="04A0"/>
      </w:tblPr>
      <w:tblGrid>
        <w:gridCol w:w="10656"/>
      </w:tblGrid>
      <w:tr>
        <w:tc>
          <w:tcPr>
            <w:tcW w:type="dxa" w:w="10656"/>
            <w:shd w:fill="EAF3FB"/>
            <w:vAlign w:val="top"/>
          </w:tcPr>
          <w:p>
            <w:r/>
            <w:r>
              <w:rPr>
                <w:b/>
                <w:color w:val="12355B"/>
                <w:sz w:val="20"/>
              </w:rPr>
              <w:t>Purpose: This guide explains what the sample report is used for, what each field means, and how a property manager can use the report to organize lead-safe follow-up work. It is written for the sample user, not for developers.</w:t>
            </w:r>
          </w:p>
        </w:tc>
      </w:tr>
    </w:tbl>
    <w:p>
      <w:pPr>
        <w:pStyle w:val="Heading1"/>
      </w:pPr>
      <w:r>
        <w:rPr>
          <w:b/>
        </w:rPr>
        <w:t>Current sample report proof points</w:t>
      </w:r>
    </w:p>
    <w:tbl>
      <w:tblPr>
        <w:tblStyle w:val="TableGrid"/>
        <w:tblW w:type="auto" w:w="0"/>
        <w:jc w:val="center"/>
        <w:tblLook w:firstColumn="1" w:firstRow="1" w:lastColumn="0" w:lastRow="0" w:noHBand="0" w:noVBand="1" w:val="04A0"/>
      </w:tblPr>
      <w:tblGrid>
        <w:gridCol w:w="5328"/>
        <w:gridCol w:w="5328"/>
      </w:tblGrid>
      <w:tr>
        <w:tc>
          <w:tcPr>
            <w:tcW w:type="dxa" w:w="4032"/>
            <w:shd w:fill="12355B"/>
            <w:vAlign w:val="top"/>
          </w:tcPr>
          <w:p>
            <w:r/>
            <w:r>
              <w:rPr>
                <w:b/>
                <w:color w:val="FFFFFF"/>
                <w:sz w:val="20"/>
              </w:rPr>
              <w:t>Sample report item</w:t>
            </w:r>
          </w:p>
        </w:tc>
        <w:tc>
          <w:tcPr>
            <w:tcW w:type="dxa" w:w="5472"/>
            <w:shd w:fill="12355B"/>
            <w:vAlign w:val="top"/>
          </w:tcPr>
          <w:p>
            <w:r/>
            <w:r>
              <w:rPr>
                <w:b/>
                <w:color w:val="FFFFFF"/>
                <w:sz w:val="20"/>
              </w:rPr>
              <w:t>Current sample result</w:t>
            </w:r>
          </w:p>
        </w:tc>
      </w:tr>
      <w:tr>
        <w:tc>
          <w:tcPr>
            <w:tcW w:type="dxa" w:w="4032"/>
            <w:vAlign w:val="top"/>
          </w:tcPr>
          <w:p>
            <w:r/>
            <w:r>
              <w:rPr>
                <w:b/>
                <w:color w:val="12355B"/>
                <w:sz w:val="20"/>
              </w:rPr>
              <w:t>Report version</w:t>
            </w:r>
          </w:p>
        </w:tc>
        <w:tc>
          <w:tcPr>
            <w:tcW w:type="dxa" w:w="5472"/>
            <w:vAlign w:val="top"/>
          </w:tcPr>
          <w:p>
            <w:r/>
            <w:r>
              <w:rPr>
                <w:b w:val="0"/>
                <w:sz w:val="20"/>
              </w:rPr>
              <w:t>v23.6.4</w:t>
            </w:r>
          </w:p>
        </w:tc>
      </w:tr>
      <w:tr>
        <w:tc>
          <w:tcPr>
            <w:tcW w:type="dxa" w:w="4032"/>
            <w:vAlign w:val="top"/>
          </w:tcPr>
          <w:p>
            <w:r/>
            <w:r>
              <w:rPr>
                <w:b/>
                <w:color w:val="12355B"/>
                <w:sz w:val="20"/>
              </w:rPr>
              <w:t>Rows analyzed</w:t>
            </w:r>
          </w:p>
        </w:tc>
        <w:tc>
          <w:tcPr>
            <w:tcW w:type="dxa" w:w="5472"/>
            <w:vAlign w:val="top"/>
          </w:tcPr>
          <w:p>
            <w:r/>
            <w:r>
              <w:rPr>
                <w:b w:val="0"/>
                <w:sz w:val="20"/>
              </w:rPr>
              <w:t>7 of 7</w:t>
            </w:r>
          </w:p>
        </w:tc>
      </w:tr>
      <w:tr>
        <w:tc>
          <w:tcPr>
            <w:tcW w:type="dxa" w:w="4032"/>
            <w:vAlign w:val="top"/>
          </w:tcPr>
          <w:p>
            <w:r/>
            <w:r>
              <w:rPr>
                <w:b/>
                <w:color w:val="12355B"/>
                <w:sz w:val="20"/>
              </w:rPr>
              <w:t>County-source matches</w:t>
            </w:r>
          </w:p>
        </w:tc>
        <w:tc>
          <w:tcPr>
            <w:tcW w:type="dxa" w:w="5472"/>
            <w:vAlign w:val="top"/>
          </w:tcPr>
          <w:p>
            <w:r/>
            <w:r>
              <w:rPr>
                <w:b w:val="0"/>
                <w:sz w:val="20"/>
              </w:rPr>
              <w:t>7</w:t>
            </w:r>
          </w:p>
        </w:tc>
      </w:tr>
      <w:tr>
        <w:tc>
          <w:tcPr>
            <w:tcW w:type="dxa" w:w="4032"/>
            <w:vAlign w:val="top"/>
          </w:tcPr>
          <w:p>
            <w:r/>
            <w:r>
              <w:rPr>
                <w:b/>
                <w:color w:val="12355B"/>
                <w:sz w:val="20"/>
              </w:rPr>
              <w:t>County rows loaded</w:t>
            </w:r>
          </w:p>
        </w:tc>
        <w:tc>
          <w:tcPr>
            <w:tcW w:type="dxa" w:w="5472"/>
            <w:vAlign w:val="top"/>
          </w:tcPr>
          <w:p>
            <w:r/>
            <w:r>
              <w:rPr>
                <w:b w:val="0"/>
                <w:sz w:val="20"/>
              </w:rPr>
              <w:t>7</w:t>
            </w:r>
          </w:p>
        </w:tc>
      </w:tr>
      <w:tr>
        <w:tc>
          <w:tcPr>
            <w:tcW w:type="dxa" w:w="4032"/>
            <w:vAlign w:val="top"/>
          </w:tcPr>
          <w:p>
            <w:r/>
            <w:r>
              <w:rPr>
                <w:b/>
                <w:color w:val="12355B"/>
                <w:sz w:val="20"/>
              </w:rPr>
              <w:t>Manager rows matched</w:t>
            </w:r>
          </w:p>
        </w:tc>
        <w:tc>
          <w:tcPr>
            <w:tcW w:type="dxa" w:w="5472"/>
            <w:vAlign w:val="top"/>
          </w:tcPr>
          <w:p>
            <w:r/>
            <w:r>
              <w:rPr>
                <w:b w:val="0"/>
                <w:sz w:val="20"/>
              </w:rPr>
              <w:t>7</w:t>
            </w:r>
          </w:p>
        </w:tc>
      </w:tr>
      <w:tr>
        <w:tc>
          <w:tcPr>
            <w:tcW w:type="dxa" w:w="4032"/>
            <w:vAlign w:val="top"/>
          </w:tcPr>
          <w:p>
            <w:r/>
            <w:r>
              <w:rPr>
                <w:b/>
                <w:color w:val="12355B"/>
                <w:sz w:val="20"/>
              </w:rPr>
              <w:t>Conflicts/differences</w:t>
            </w:r>
          </w:p>
        </w:tc>
        <w:tc>
          <w:tcPr>
            <w:tcW w:type="dxa" w:w="5472"/>
            <w:vAlign w:val="top"/>
          </w:tcPr>
          <w:p>
            <w:r/>
            <w:r>
              <w:rPr>
                <w:b w:val="0"/>
                <w:sz w:val="20"/>
              </w:rPr>
              <w:t>0</w:t>
            </w:r>
          </w:p>
        </w:tc>
      </w:tr>
    </w:tbl>
    <w:p>
      <w:pPr>
        <w:pStyle w:val="Heading1"/>
      </w:pPr>
      <w:r>
        <w:t>1. What Triad LeadClean helps a manager do</w:t>
      </w:r>
    </w:p>
    <w:p>
      <w:pPr>
        <w:pStyle w:val="ListBullet"/>
      </w:pPr>
      <w:r>
        <w:t>Turn a property list into a readable lead-safe intake and action report.</w:t>
      </w:r>
    </w:p>
    <w:p>
      <w:pPr>
        <w:pStyle w:val="ListBullet"/>
      </w:pPr>
      <w:r>
        <w:t>Find missing year-built, owner/LLC, county, and documentation information.</w:t>
      </w:r>
    </w:p>
    <w:p>
      <w:pPr>
        <w:pStyle w:val="ListBullet"/>
      </w:pPr>
      <w:r>
        <w:t>Compare manager records with available county/public property-source data.</w:t>
      </w:r>
    </w:p>
    <w:p>
      <w:pPr>
        <w:pStyle w:val="ListBullet"/>
      </w:pPr>
      <w:r>
        <w:t>Prioritize rows that need review before repairs, renovations, turnover, or owner follow-up.</w:t>
      </w:r>
    </w:p>
    <w:p>
      <w:pPr>
        <w:pStyle w:val="ListBullet"/>
      </w:pPr>
      <w:r>
        <w:t>Keep a traceable record of what was found, where it came from, and whether it has been verified.</w:t>
      </w:r>
    </w:p>
    <w:p>
      <w:pPr>
        <w:pStyle w:val="Heading1"/>
      </w:pPr>
      <w:r>
        <w:t>2. Why this matters for lead-safe work</w:t>
      </w:r>
    </w:p>
    <w:p>
      <w:r>
        <w:t>Many lead-safe review tasks start with a basic question: what properties are older, missing year-built information, missing documentation, or tied to repair/renovation activity?</w:t>
      </w:r>
    </w:p>
    <w:p>
      <w:r>
        <w:t>Federal lead-disclosure rules focus on most housing built before 1978. The report therefore uses year-built and missing-year checks as early screening signals, not as final legal conclusions.</w:t>
      </w:r>
    </w:p>
    <w:p>
      <w:r>
        <w:t>The report helps organize records and follow-up. It does not replace legal review, certified inspection, risk assessment, or required lead-safe renovation procedures.</w:t>
      </w:r>
    </w:p>
    <w:p>
      <w:pPr>
        <w:pStyle w:val="Heading1"/>
      </w:pPr>
      <w:r>
        <w:t>3. How to read the sample report</w:t>
      </w:r>
    </w:p>
    <w:tbl>
      <w:tblPr>
        <w:tblStyle w:val="TableGrid"/>
        <w:tblW w:type="auto" w:w="0"/>
        <w:jc w:val="center"/>
        <w:tblLook w:firstColumn="1" w:firstRow="1" w:lastColumn="0" w:lastRow="0" w:noHBand="0" w:noVBand="1" w:val="04A0"/>
      </w:tblPr>
      <w:tblGrid>
        <w:gridCol w:w="5328"/>
        <w:gridCol w:w="5328"/>
      </w:tblGrid>
      <w:tr>
        <w:tc>
          <w:tcPr>
            <w:tcW w:type="dxa" w:w="3312"/>
            <w:shd w:fill="12355B"/>
            <w:vAlign w:val="top"/>
          </w:tcPr>
          <w:p>
            <w:r/>
            <w:r>
              <w:rPr>
                <w:b/>
                <w:color w:val="FFFFFF"/>
                <w:sz w:val="20"/>
              </w:rPr>
              <w:t>Step</w:t>
            </w:r>
          </w:p>
        </w:tc>
        <w:tc>
          <w:tcPr>
            <w:tcW w:type="dxa" w:w="6480"/>
            <w:shd w:fill="12355B"/>
            <w:vAlign w:val="top"/>
          </w:tcPr>
          <w:p>
            <w:r/>
            <w:r>
              <w:rPr>
                <w:b/>
                <w:color w:val="FFFFFF"/>
                <w:sz w:val="20"/>
              </w:rPr>
              <w:t>How to use it</w:t>
            </w:r>
          </w:p>
        </w:tc>
      </w:tr>
      <w:tr>
        <w:tc>
          <w:tcPr>
            <w:tcW w:type="dxa" w:w="3312"/>
            <w:vAlign w:val="top"/>
          </w:tcPr>
          <w:p>
            <w:r/>
            <w:r>
              <w:rPr>
                <w:b/>
                <w:color w:val="12355B"/>
                <w:sz w:val="20"/>
              </w:rPr>
              <w:t>Start with the Summary</w:t>
            </w:r>
          </w:p>
        </w:tc>
        <w:tc>
          <w:tcPr>
            <w:tcW w:type="dxa" w:w="6480"/>
            <w:vAlign w:val="top"/>
          </w:tcPr>
          <w:p>
            <w:r/>
            <w:r>
              <w:rPr>
                <w:b w:val="0"/>
                <w:sz w:val="20"/>
              </w:rPr>
              <w:t>Use the top counts to see how many rows were reviewed, how many matched county data, and how many need documentation or missing-data follow-up.</w:t>
            </w:r>
          </w:p>
        </w:tc>
      </w:tr>
      <w:tr>
        <w:tc>
          <w:tcPr>
            <w:tcW w:type="dxa" w:w="3312"/>
            <w:vAlign w:val="top"/>
          </w:tcPr>
          <w:p>
            <w:r/>
            <w:r>
              <w:rPr>
                <w:b/>
                <w:color w:val="12355B"/>
                <w:sz w:val="20"/>
              </w:rPr>
              <w:t>Review County Sources Used</w:t>
            </w:r>
          </w:p>
        </w:tc>
        <w:tc>
          <w:tcPr>
            <w:tcW w:type="dxa" w:w="6480"/>
            <w:vAlign w:val="top"/>
          </w:tcPr>
          <w:p>
            <w:r/>
            <w:r>
              <w:rPr>
                <w:b w:val="0"/>
                <w:sz w:val="20"/>
              </w:rPr>
              <w:t>This shows which county/public source was used, how many county rows were loaded, how many manager rows matched, and whether conflicts were found.</w:t>
            </w:r>
          </w:p>
        </w:tc>
      </w:tr>
      <w:tr>
        <w:tc>
          <w:tcPr>
            <w:tcW w:type="dxa" w:w="3312"/>
            <w:vAlign w:val="top"/>
          </w:tcPr>
          <w:p>
            <w:r/>
            <w:r>
              <w:rPr>
                <w:b/>
                <w:color w:val="12355B"/>
                <w:sz w:val="20"/>
              </w:rPr>
              <w:t>Work through the Property Action List</w:t>
            </w:r>
          </w:p>
        </w:tc>
        <w:tc>
          <w:tcPr>
            <w:tcW w:type="dxa" w:w="6480"/>
            <w:vAlign w:val="top"/>
          </w:tcPr>
          <w:p>
            <w:r/>
            <w:r>
              <w:rPr>
                <w:b w:val="0"/>
                <w:sz w:val="20"/>
              </w:rPr>
              <w:t>Each card shows one property with the key fields, flags, next action, notes, source tracking, and follow-up need.</w:t>
            </w:r>
          </w:p>
        </w:tc>
      </w:tr>
      <w:tr>
        <w:tc>
          <w:tcPr>
            <w:tcW w:type="dxa" w:w="3312"/>
            <w:vAlign w:val="top"/>
          </w:tcPr>
          <w:p>
            <w:r/>
            <w:r>
              <w:rPr>
                <w:b/>
                <w:color w:val="12355B"/>
                <w:sz w:val="20"/>
              </w:rPr>
              <w:t>Update the manager file after review</w:t>
            </w:r>
          </w:p>
        </w:tc>
        <w:tc>
          <w:tcPr>
            <w:tcW w:type="dxa" w:w="6480"/>
            <w:vAlign w:val="top"/>
          </w:tcPr>
          <w:p>
            <w:r/>
            <w:r>
              <w:rPr>
                <w:b w:val="0"/>
                <w:sz w:val="20"/>
              </w:rPr>
              <w:t>County values can help fill gaps, but they should be reviewed by a person before being treated as verified.</w:t>
            </w:r>
          </w:p>
        </w:tc>
      </w:tr>
    </w:tbl>
    <w:p>
      <w:pPr>
        <w:pStyle w:val="Heading1"/>
      </w:pPr>
      <w:r>
        <w:t>4. Report field guide</w:t>
      </w:r>
    </w:p>
    <w:p>
      <w:r>
        <w:t>These are the fields shown on each property card and how a manager should use them.</w:t>
      </w:r>
    </w:p>
    <w:tbl>
      <w:tblPr>
        <w:tblStyle w:val="TableGrid"/>
        <w:tblW w:type="auto" w:w="0"/>
        <w:jc w:val="center"/>
        <w:tblLook w:firstColumn="1" w:firstRow="1" w:lastColumn="0" w:lastRow="0" w:noHBand="0" w:noVBand="1" w:val="04A0"/>
      </w:tblPr>
      <w:tblGrid>
        <w:gridCol w:w="3552"/>
        <w:gridCol w:w="3552"/>
        <w:gridCol w:w="3552"/>
      </w:tblGrid>
      <w:tr>
        <w:tc>
          <w:tcPr>
            <w:tcW w:type="dxa" w:w="1944"/>
            <w:shd w:fill="12355B"/>
            <w:vAlign w:val="top"/>
          </w:tcPr>
          <w:p>
            <w:r/>
            <w:r>
              <w:rPr>
                <w:b/>
                <w:color w:val="FFFFFF"/>
                <w:sz w:val="18"/>
              </w:rPr>
              <w:t>Field</w:t>
            </w:r>
          </w:p>
        </w:tc>
        <w:tc>
          <w:tcPr>
            <w:tcW w:type="dxa" w:w="3384"/>
            <w:shd w:fill="12355B"/>
            <w:vAlign w:val="top"/>
          </w:tcPr>
          <w:p>
            <w:r/>
            <w:r>
              <w:rPr>
                <w:b/>
                <w:color w:val="FFFFFF"/>
                <w:sz w:val="18"/>
              </w:rPr>
              <w:t>What it means</w:t>
            </w:r>
          </w:p>
        </w:tc>
        <w:tc>
          <w:tcPr>
            <w:tcW w:type="dxa" w:w="4608"/>
            <w:shd w:fill="12355B"/>
            <w:vAlign w:val="top"/>
          </w:tcPr>
          <w:p>
            <w:r/>
            <w:r>
              <w:rPr>
                <w:b/>
                <w:color w:val="FFFFFF"/>
                <w:sz w:val="18"/>
              </w:rPr>
              <w:t>How the manager uses it</w:t>
            </w:r>
          </w:p>
        </w:tc>
      </w:tr>
      <w:tr>
        <w:tc>
          <w:tcPr>
            <w:tcW w:type="dxa" w:w="1944"/>
            <w:shd w:fill="F8FBFF"/>
            <w:vAlign w:val="top"/>
          </w:tcPr>
          <w:p>
            <w:r/>
            <w:r>
              <w:rPr>
                <w:b/>
                <w:color w:val="12355B"/>
                <w:sz w:val="17"/>
              </w:rPr>
              <w:t>Priority</w:t>
            </w:r>
          </w:p>
        </w:tc>
        <w:tc>
          <w:tcPr>
            <w:tcW w:type="dxa" w:w="3384"/>
            <w:shd w:fill="F8FBFF"/>
            <w:vAlign w:val="top"/>
          </w:tcPr>
          <w:p>
            <w:r/>
            <w:r>
              <w:rPr>
                <w:b w:val="0"/>
                <w:sz w:val="17"/>
              </w:rPr>
              <w:t>High, Medium, or Low review attention.</w:t>
            </w:r>
          </w:p>
        </w:tc>
        <w:tc>
          <w:tcPr>
            <w:tcW w:type="dxa" w:w="4608"/>
            <w:shd w:fill="F8FBFF"/>
            <w:vAlign w:val="top"/>
          </w:tcPr>
          <w:p>
            <w:r/>
            <w:r>
              <w:rPr>
                <w:b w:val="0"/>
                <w:sz w:val="17"/>
              </w:rPr>
              <w:t>Helps decide which properties should be reviewed first.</w:t>
            </w:r>
          </w:p>
        </w:tc>
      </w:tr>
      <w:tr>
        <w:tc>
          <w:tcPr>
            <w:tcW w:type="dxa" w:w="1944"/>
            <w:vAlign w:val="top"/>
          </w:tcPr>
          <w:p>
            <w:r/>
            <w:r>
              <w:rPr>
                <w:b/>
                <w:color w:val="12355B"/>
                <w:sz w:val="17"/>
              </w:rPr>
              <w:t>Address</w:t>
            </w:r>
          </w:p>
        </w:tc>
        <w:tc>
          <w:tcPr>
            <w:tcW w:type="dxa" w:w="3384"/>
            <w:vAlign w:val="top"/>
          </w:tcPr>
          <w:p>
            <w:r/>
            <w:r>
              <w:rPr>
                <w:b w:val="0"/>
                <w:sz w:val="17"/>
              </w:rPr>
              <w:t>Property street address from the manager file or matched source.</w:t>
            </w:r>
          </w:p>
        </w:tc>
        <w:tc>
          <w:tcPr>
            <w:tcW w:type="dxa" w:w="4608"/>
            <w:vAlign w:val="top"/>
          </w:tcPr>
          <w:p>
            <w:r/>
            <w:r>
              <w:rPr>
                <w:b w:val="0"/>
                <w:sz w:val="17"/>
              </w:rPr>
              <w:t>Keeps the review tied to a specific property.</w:t>
            </w:r>
          </w:p>
        </w:tc>
      </w:tr>
      <w:tr>
        <w:tc>
          <w:tcPr>
            <w:tcW w:type="dxa" w:w="1944"/>
            <w:shd w:fill="F8FBFF"/>
            <w:vAlign w:val="top"/>
          </w:tcPr>
          <w:p>
            <w:r/>
            <w:r>
              <w:rPr>
                <w:b/>
                <w:color w:val="12355B"/>
                <w:sz w:val="17"/>
              </w:rPr>
              <w:t>City</w:t>
            </w:r>
          </w:p>
        </w:tc>
        <w:tc>
          <w:tcPr>
            <w:tcW w:type="dxa" w:w="3384"/>
            <w:shd w:fill="F8FBFF"/>
            <w:vAlign w:val="top"/>
          </w:tcPr>
          <w:p>
            <w:r/>
            <w:r>
              <w:rPr>
                <w:b w:val="0"/>
                <w:sz w:val="17"/>
              </w:rPr>
              <w:t>City listed for the property.</w:t>
            </w:r>
          </w:p>
        </w:tc>
        <w:tc>
          <w:tcPr>
            <w:tcW w:type="dxa" w:w="4608"/>
            <w:shd w:fill="F8FBFF"/>
            <w:vAlign w:val="top"/>
          </w:tcPr>
          <w:p>
            <w:r/>
            <w:r>
              <w:rPr>
                <w:b w:val="0"/>
                <w:sz w:val="17"/>
              </w:rPr>
              <w:t>Useful for routing work by service area or municipality.</w:t>
            </w:r>
          </w:p>
        </w:tc>
      </w:tr>
      <w:tr>
        <w:tc>
          <w:tcPr>
            <w:tcW w:type="dxa" w:w="1944"/>
            <w:vAlign w:val="top"/>
          </w:tcPr>
          <w:p>
            <w:r/>
            <w:r>
              <w:rPr>
                <w:b/>
                <w:color w:val="12355B"/>
                <w:sz w:val="17"/>
              </w:rPr>
              <w:t>County</w:t>
            </w:r>
          </w:p>
        </w:tc>
        <w:tc>
          <w:tcPr>
            <w:tcW w:type="dxa" w:w="3384"/>
            <w:vAlign w:val="top"/>
          </w:tcPr>
          <w:p>
            <w:r/>
            <w:r>
              <w:rPr>
                <w:b w:val="0"/>
                <w:sz w:val="17"/>
              </w:rPr>
              <w:t>County used for matching and source review.</w:t>
            </w:r>
          </w:p>
        </w:tc>
        <w:tc>
          <w:tcPr>
            <w:tcW w:type="dxa" w:w="4608"/>
            <w:vAlign w:val="top"/>
          </w:tcPr>
          <w:p>
            <w:r/>
            <w:r>
              <w:rPr>
                <w:b w:val="0"/>
                <w:sz w:val="17"/>
              </w:rPr>
              <w:t>County matters because public property records and exports are county-specific.</w:t>
            </w:r>
          </w:p>
        </w:tc>
      </w:tr>
      <w:tr>
        <w:tc>
          <w:tcPr>
            <w:tcW w:type="dxa" w:w="1944"/>
            <w:shd w:fill="F8FBFF"/>
            <w:vAlign w:val="top"/>
          </w:tcPr>
          <w:p>
            <w:r/>
            <w:r>
              <w:rPr>
                <w:b/>
                <w:color w:val="12355B"/>
                <w:sz w:val="17"/>
              </w:rPr>
              <w:t>Manager Year</w:t>
            </w:r>
          </w:p>
        </w:tc>
        <w:tc>
          <w:tcPr>
            <w:tcW w:type="dxa" w:w="3384"/>
            <w:shd w:fill="F8FBFF"/>
            <w:vAlign w:val="top"/>
          </w:tcPr>
          <w:p>
            <w:r/>
            <w:r>
              <w:rPr>
                <w:b w:val="0"/>
                <w:sz w:val="17"/>
              </w:rPr>
              <w:t>Year built from the manager property list.</w:t>
            </w:r>
          </w:p>
        </w:tc>
        <w:tc>
          <w:tcPr>
            <w:tcW w:type="dxa" w:w="4608"/>
            <w:shd w:fill="F8FBFF"/>
            <w:vAlign w:val="top"/>
          </w:tcPr>
          <w:p>
            <w:r/>
            <w:r>
              <w:rPr>
                <w:b w:val="0"/>
                <w:sz w:val="17"/>
              </w:rPr>
              <w:t>Missing or incorrect years can hide lead-safe documentation needs.</w:t>
            </w:r>
          </w:p>
        </w:tc>
      </w:tr>
      <w:tr>
        <w:tc>
          <w:tcPr>
            <w:tcW w:type="dxa" w:w="1944"/>
            <w:vAlign w:val="top"/>
          </w:tcPr>
          <w:p>
            <w:r/>
            <w:r>
              <w:rPr>
                <w:b/>
                <w:color w:val="12355B"/>
                <w:sz w:val="17"/>
              </w:rPr>
              <w:t>County Year</w:t>
            </w:r>
          </w:p>
        </w:tc>
        <w:tc>
          <w:tcPr>
            <w:tcW w:type="dxa" w:w="3384"/>
            <w:vAlign w:val="top"/>
          </w:tcPr>
          <w:p>
            <w:r/>
            <w:r>
              <w:rPr>
                <w:b w:val="0"/>
                <w:sz w:val="17"/>
              </w:rPr>
              <w:t>Year built from county/public source data.</w:t>
            </w:r>
          </w:p>
        </w:tc>
        <w:tc>
          <w:tcPr>
            <w:tcW w:type="dxa" w:w="4608"/>
            <w:vAlign w:val="top"/>
          </w:tcPr>
          <w:p>
            <w:r/>
            <w:r>
              <w:rPr>
                <w:b w:val="0"/>
                <w:sz w:val="17"/>
              </w:rPr>
              <w:t>Helps fill a gap when the manager file is missing year-built information.</w:t>
            </w:r>
          </w:p>
        </w:tc>
      </w:tr>
      <w:tr>
        <w:tc>
          <w:tcPr>
            <w:tcW w:type="dxa" w:w="1944"/>
            <w:shd w:fill="F8FBFF"/>
            <w:vAlign w:val="top"/>
          </w:tcPr>
          <w:p>
            <w:r/>
            <w:r>
              <w:rPr>
                <w:b/>
                <w:color w:val="12355B"/>
                <w:sz w:val="17"/>
              </w:rPr>
              <w:t>Manager Owner / LLC</w:t>
            </w:r>
          </w:p>
        </w:tc>
        <w:tc>
          <w:tcPr>
            <w:tcW w:type="dxa" w:w="3384"/>
            <w:shd w:fill="F8FBFF"/>
            <w:vAlign w:val="top"/>
          </w:tcPr>
          <w:p>
            <w:r/>
            <w:r>
              <w:rPr>
                <w:b w:val="0"/>
                <w:sz w:val="17"/>
              </w:rPr>
              <w:t>Owner/company name from the manager file.</w:t>
            </w:r>
          </w:p>
        </w:tc>
        <w:tc>
          <w:tcPr>
            <w:tcW w:type="dxa" w:w="4608"/>
            <w:shd w:fill="F8FBFF"/>
            <w:vAlign w:val="top"/>
          </w:tcPr>
          <w:p>
            <w:r/>
            <w:r>
              <w:rPr>
                <w:b w:val="0"/>
                <w:sz w:val="17"/>
              </w:rPr>
              <w:t>Needed for owner communication, documentation requests, and responsibility tracking.</w:t>
            </w:r>
          </w:p>
        </w:tc>
      </w:tr>
      <w:tr>
        <w:tc>
          <w:tcPr>
            <w:tcW w:type="dxa" w:w="1944"/>
            <w:vAlign w:val="top"/>
          </w:tcPr>
          <w:p>
            <w:r/>
            <w:r>
              <w:rPr>
                <w:b/>
                <w:color w:val="12355B"/>
                <w:sz w:val="17"/>
              </w:rPr>
              <w:t>County Owner / LLC</w:t>
            </w:r>
          </w:p>
        </w:tc>
        <w:tc>
          <w:tcPr>
            <w:tcW w:type="dxa" w:w="3384"/>
            <w:vAlign w:val="top"/>
          </w:tcPr>
          <w:p>
            <w:r/>
            <w:r>
              <w:rPr>
                <w:b w:val="0"/>
                <w:sz w:val="17"/>
              </w:rPr>
              <w:t>Owner/company name from county source data when available.</w:t>
            </w:r>
          </w:p>
        </w:tc>
        <w:tc>
          <w:tcPr>
            <w:tcW w:type="dxa" w:w="4608"/>
            <w:vAlign w:val="top"/>
          </w:tcPr>
          <w:p>
            <w:r/>
            <w:r>
              <w:rPr>
                <w:b w:val="0"/>
                <w:sz w:val="17"/>
              </w:rPr>
              <w:t>Can help verify or clean up ownership records.</w:t>
            </w:r>
          </w:p>
        </w:tc>
      </w:tr>
      <w:tr>
        <w:tc>
          <w:tcPr>
            <w:tcW w:type="dxa" w:w="1944"/>
            <w:shd w:fill="F8FBFF"/>
            <w:vAlign w:val="top"/>
          </w:tcPr>
          <w:p>
            <w:r/>
            <w:r>
              <w:rPr>
                <w:b/>
                <w:color w:val="12355B"/>
                <w:sz w:val="17"/>
              </w:rPr>
              <w:t>County Match Status</w:t>
            </w:r>
          </w:p>
        </w:tc>
        <w:tc>
          <w:tcPr>
            <w:tcW w:type="dxa" w:w="3384"/>
            <w:shd w:fill="F8FBFF"/>
            <w:vAlign w:val="top"/>
          </w:tcPr>
          <w:p>
            <w:r/>
            <w:r>
              <w:rPr>
                <w:b w:val="0"/>
                <w:sz w:val="17"/>
              </w:rPr>
              <w:t>Shows whether the property matched a county-source record.</w:t>
            </w:r>
          </w:p>
        </w:tc>
        <w:tc>
          <w:tcPr>
            <w:tcW w:type="dxa" w:w="4608"/>
            <w:shd w:fill="F8FBFF"/>
            <w:vAlign w:val="top"/>
          </w:tcPr>
          <w:p>
            <w:r/>
            <w:r>
              <w:rPr>
                <w:b w:val="0"/>
                <w:sz w:val="17"/>
              </w:rPr>
              <w:t>A match gives confidence that the county year and parcel/PIN are connected to the right property.</w:t>
            </w:r>
          </w:p>
        </w:tc>
      </w:tr>
      <w:tr>
        <w:tc>
          <w:tcPr>
            <w:tcW w:type="dxa" w:w="1944"/>
            <w:vAlign w:val="top"/>
          </w:tcPr>
          <w:p>
            <w:r/>
            <w:r>
              <w:rPr>
                <w:b/>
                <w:color w:val="12355B"/>
                <w:sz w:val="17"/>
              </w:rPr>
              <w:t>Parcel/PIN</w:t>
            </w:r>
          </w:p>
        </w:tc>
        <w:tc>
          <w:tcPr>
            <w:tcW w:type="dxa" w:w="3384"/>
            <w:vAlign w:val="top"/>
          </w:tcPr>
          <w:p>
            <w:r/>
            <w:r>
              <w:rPr>
                <w:b w:val="0"/>
                <w:sz w:val="17"/>
              </w:rPr>
              <w:t>County parcel or property identifier.</w:t>
            </w:r>
          </w:p>
        </w:tc>
        <w:tc>
          <w:tcPr>
            <w:tcW w:type="dxa" w:w="4608"/>
            <w:vAlign w:val="top"/>
          </w:tcPr>
          <w:p>
            <w:r/>
            <w:r>
              <w:rPr>
                <w:b w:val="0"/>
                <w:sz w:val="17"/>
              </w:rPr>
              <w:t>Provides a source-tracking key for county record review.</w:t>
            </w:r>
          </w:p>
        </w:tc>
      </w:tr>
      <w:tr>
        <w:tc>
          <w:tcPr>
            <w:tcW w:type="dxa" w:w="1944"/>
            <w:shd w:fill="F8FBFF"/>
            <w:vAlign w:val="top"/>
          </w:tcPr>
          <w:p>
            <w:r/>
            <w:r>
              <w:rPr>
                <w:b/>
                <w:color w:val="12355B"/>
                <w:sz w:val="17"/>
              </w:rPr>
              <w:t>Conflict/Difference</w:t>
            </w:r>
          </w:p>
        </w:tc>
        <w:tc>
          <w:tcPr>
            <w:tcW w:type="dxa" w:w="3384"/>
            <w:shd w:fill="F8FBFF"/>
            <w:vAlign w:val="top"/>
          </w:tcPr>
          <w:p>
            <w:r/>
            <w:r>
              <w:rPr>
                <w:b w:val="0"/>
                <w:sz w:val="17"/>
              </w:rPr>
              <w:t>Shows disagreements between manager data and county data.</w:t>
            </w:r>
          </w:p>
        </w:tc>
        <w:tc>
          <w:tcPr>
            <w:tcW w:type="dxa" w:w="4608"/>
            <w:shd w:fill="F8FBFF"/>
            <w:vAlign w:val="top"/>
          </w:tcPr>
          <w:p>
            <w:r/>
            <w:r>
              <w:rPr>
                <w:b w:val="0"/>
                <w:sz w:val="17"/>
              </w:rPr>
              <w:t>Conflicts should be reviewed before finalizing notes or communicating findings.</w:t>
            </w:r>
          </w:p>
        </w:tc>
      </w:tr>
      <w:tr>
        <w:tc>
          <w:tcPr>
            <w:tcW w:type="dxa" w:w="1944"/>
            <w:vAlign w:val="top"/>
          </w:tcPr>
          <w:p>
            <w:r/>
            <w:r>
              <w:rPr>
                <w:b/>
                <w:color w:val="12355B"/>
                <w:sz w:val="17"/>
              </w:rPr>
              <w:t>Flags</w:t>
            </w:r>
          </w:p>
        </w:tc>
        <w:tc>
          <w:tcPr>
            <w:tcW w:type="dxa" w:w="3384"/>
            <w:vAlign w:val="top"/>
          </w:tcPr>
          <w:p>
            <w:r/>
            <w:r>
              <w:rPr>
                <w:b w:val="0"/>
                <w:sz w:val="17"/>
              </w:rPr>
              <w:t>Short labels such as missing owner/LLC, manager year missing, documentation check needed, county year available, or post-1977 from county CSV.</w:t>
            </w:r>
          </w:p>
        </w:tc>
        <w:tc>
          <w:tcPr>
            <w:tcW w:type="dxa" w:w="4608"/>
            <w:vAlign w:val="top"/>
          </w:tcPr>
          <w:p>
            <w:r/>
            <w:r>
              <w:rPr>
                <w:b w:val="0"/>
                <w:sz w:val="17"/>
              </w:rPr>
              <w:t>Flags turn the data into action triggers.</w:t>
            </w:r>
          </w:p>
        </w:tc>
      </w:tr>
      <w:tr>
        <w:tc>
          <w:tcPr>
            <w:tcW w:type="dxa" w:w="1944"/>
            <w:shd w:fill="F8FBFF"/>
            <w:vAlign w:val="top"/>
          </w:tcPr>
          <w:p>
            <w:r/>
            <w:r>
              <w:rPr>
                <w:b/>
                <w:color w:val="12355B"/>
                <w:sz w:val="17"/>
              </w:rPr>
              <w:t>Next Action</w:t>
            </w:r>
          </w:p>
        </w:tc>
        <w:tc>
          <w:tcPr>
            <w:tcW w:type="dxa" w:w="3384"/>
            <w:shd w:fill="F8FBFF"/>
            <w:vAlign w:val="top"/>
          </w:tcPr>
          <w:p>
            <w:r/>
            <w:r>
              <w:rPr>
                <w:b w:val="0"/>
                <w:sz w:val="17"/>
              </w:rPr>
              <w:t>Suggested next step for the property.</w:t>
            </w:r>
          </w:p>
        </w:tc>
        <w:tc>
          <w:tcPr>
            <w:tcW w:type="dxa" w:w="4608"/>
            <w:shd w:fill="F8FBFF"/>
            <w:vAlign w:val="top"/>
          </w:tcPr>
          <w:p>
            <w:r/>
            <w:r>
              <w:rPr>
                <w:b w:val="0"/>
                <w:sz w:val="17"/>
              </w:rPr>
              <w:t>Helps the manager know what to do next instead of only seeing raw data.</w:t>
            </w:r>
          </w:p>
        </w:tc>
      </w:tr>
      <w:tr>
        <w:tc>
          <w:tcPr>
            <w:tcW w:type="dxa" w:w="1944"/>
            <w:vAlign w:val="top"/>
          </w:tcPr>
          <w:p>
            <w:r/>
            <w:r>
              <w:rPr>
                <w:b/>
                <w:color w:val="12355B"/>
                <w:sz w:val="17"/>
              </w:rPr>
              <w:t>Notes</w:t>
            </w:r>
          </w:p>
        </w:tc>
        <w:tc>
          <w:tcPr>
            <w:tcW w:type="dxa" w:w="3384"/>
            <w:vAlign w:val="top"/>
          </w:tcPr>
          <w:p>
            <w:r/>
            <w:r>
              <w:rPr>
                <w:b w:val="0"/>
                <w:sz w:val="17"/>
              </w:rPr>
              <w:t>Explanation of the issue or source result.</w:t>
            </w:r>
          </w:p>
        </w:tc>
        <w:tc>
          <w:tcPr>
            <w:tcW w:type="dxa" w:w="4608"/>
            <w:vAlign w:val="top"/>
          </w:tcPr>
          <w:p>
            <w:r/>
            <w:r>
              <w:rPr>
                <w:b w:val="0"/>
                <w:sz w:val="17"/>
              </w:rPr>
              <w:t>Gives context for why the property was flagged.</w:t>
            </w:r>
          </w:p>
        </w:tc>
      </w:tr>
      <w:tr>
        <w:tc>
          <w:tcPr>
            <w:tcW w:type="dxa" w:w="1944"/>
            <w:shd w:fill="F8FBFF"/>
            <w:vAlign w:val="top"/>
          </w:tcPr>
          <w:p>
            <w:r/>
            <w:r>
              <w:rPr>
                <w:b/>
                <w:color w:val="12355B"/>
                <w:sz w:val="17"/>
              </w:rPr>
              <w:t>Note Source</w:t>
            </w:r>
          </w:p>
        </w:tc>
        <w:tc>
          <w:tcPr>
            <w:tcW w:type="dxa" w:w="3384"/>
            <w:shd w:fill="F8FBFF"/>
            <w:vAlign w:val="top"/>
          </w:tcPr>
          <w:p>
            <w:r/>
            <w:r>
              <w:rPr>
                <w:b w:val="0"/>
                <w:sz w:val="17"/>
              </w:rPr>
              <w:t>Where the note came from.</w:t>
            </w:r>
          </w:p>
        </w:tc>
        <w:tc>
          <w:tcPr>
            <w:tcW w:type="dxa" w:w="4608"/>
            <w:shd w:fill="F8FBFF"/>
            <w:vAlign w:val="top"/>
          </w:tcPr>
          <w:p>
            <w:r/>
            <w:r>
              <w:rPr>
                <w:b w:val="0"/>
                <w:sz w:val="17"/>
              </w:rPr>
              <w:t>Supports traceability and separates system-generated notes from verified human notes.</w:t>
            </w:r>
          </w:p>
        </w:tc>
      </w:tr>
      <w:tr>
        <w:tc>
          <w:tcPr>
            <w:tcW w:type="dxa" w:w="1944"/>
            <w:vAlign w:val="top"/>
          </w:tcPr>
          <w:p>
            <w:r/>
            <w:r>
              <w:rPr>
                <w:b/>
                <w:color w:val="12355B"/>
                <w:sz w:val="17"/>
              </w:rPr>
              <w:t>Provided By</w:t>
            </w:r>
          </w:p>
        </w:tc>
        <w:tc>
          <w:tcPr>
            <w:tcW w:type="dxa" w:w="3384"/>
            <w:vAlign w:val="top"/>
          </w:tcPr>
          <w:p>
            <w:r/>
            <w:r>
              <w:rPr>
                <w:b w:val="0"/>
                <w:sz w:val="17"/>
              </w:rPr>
              <w:t>Who or what provided the data or note.</w:t>
            </w:r>
          </w:p>
        </w:tc>
        <w:tc>
          <w:tcPr>
            <w:tcW w:type="dxa" w:w="4608"/>
            <w:vAlign w:val="top"/>
          </w:tcPr>
          <w:p>
            <w:r/>
            <w:r>
              <w:rPr>
                <w:b w:val="0"/>
                <w:sz w:val="17"/>
              </w:rPr>
              <w:t>Helps identify whether the information came from Triad LeadClean, a manager, a county source, or another party.</w:t>
            </w:r>
          </w:p>
        </w:tc>
      </w:tr>
      <w:tr>
        <w:tc>
          <w:tcPr>
            <w:tcW w:type="dxa" w:w="1944"/>
            <w:shd w:fill="F8FBFF"/>
            <w:vAlign w:val="top"/>
          </w:tcPr>
          <w:p>
            <w:r/>
            <w:r>
              <w:rPr>
                <w:b/>
                <w:color w:val="12355B"/>
                <w:sz w:val="17"/>
              </w:rPr>
              <w:t>Verified</w:t>
            </w:r>
          </w:p>
        </w:tc>
        <w:tc>
          <w:tcPr>
            <w:tcW w:type="dxa" w:w="3384"/>
            <w:shd w:fill="F8FBFF"/>
            <w:vAlign w:val="top"/>
          </w:tcPr>
          <w:p>
            <w:r/>
            <w:r>
              <w:rPr>
                <w:b w:val="0"/>
                <w:sz w:val="17"/>
              </w:rPr>
              <w:t>Whether the row has been manually verified.</w:t>
            </w:r>
          </w:p>
        </w:tc>
        <w:tc>
          <w:tcPr>
            <w:tcW w:type="dxa" w:w="4608"/>
            <w:shd w:fill="F8FBFF"/>
            <w:vAlign w:val="top"/>
          </w:tcPr>
          <w:p>
            <w:r/>
            <w:r>
              <w:rPr>
                <w:b w:val="0"/>
                <w:sz w:val="17"/>
              </w:rPr>
              <w:t>Keeps unverified county matches separate from final reviewed records.</w:t>
            </w:r>
          </w:p>
        </w:tc>
      </w:tr>
      <w:tr>
        <w:tc>
          <w:tcPr>
            <w:tcW w:type="dxa" w:w="1944"/>
            <w:vAlign w:val="top"/>
          </w:tcPr>
          <w:p>
            <w:r/>
            <w:r>
              <w:rPr>
                <w:b/>
                <w:color w:val="12355B"/>
                <w:sz w:val="17"/>
              </w:rPr>
              <w:t>Follow-Up Needed</w:t>
            </w:r>
          </w:p>
        </w:tc>
        <w:tc>
          <w:tcPr>
            <w:tcW w:type="dxa" w:w="3384"/>
            <w:vAlign w:val="top"/>
          </w:tcPr>
          <w:p>
            <w:r/>
            <w:r>
              <w:rPr>
                <w:b w:val="0"/>
                <w:sz w:val="17"/>
              </w:rPr>
              <w:t>Plain-language follow-up summary.</w:t>
            </w:r>
          </w:p>
        </w:tc>
        <w:tc>
          <w:tcPr>
            <w:tcW w:type="dxa" w:w="4608"/>
            <w:vAlign w:val="top"/>
          </w:tcPr>
          <w:p>
            <w:r/>
            <w:r>
              <w:rPr>
                <w:b w:val="0"/>
                <w:sz w:val="17"/>
              </w:rPr>
              <w:t>Turns the property row into a manager task item.</w:t>
            </w:r>
          </w:p>
        </w:tc>
      </w:tr>
    </w:tbl>
    <w:p>
      <w:pPr>
        <w:pStyle w:val="Heading1"/>
      </w:pPr>
      <w:r>
        <w:t>5. What the manager receives</w:t>
      </w:r>
    </w:p>
    <w:p>
      <w:pPr>
        <w:pStyle w:val="ListBullet"/>
      </w:pPr>
      <w:r>
        <w:t>A portfolio-level summary showing total rows, high-priority rows, missing-year rows, documentation-check rows, county-source matches, and conflicts.</w:t>
      </w:r>
    </w:p>
    <w:p>
      <w:pPr>
        <w:pStyle w:val="ListBullet"/>
      </w:pPr>
      <w:r>
        <w:t>A County Sources Used section showing the source, county, rows loaded, rows matched, and conflicts/differences.</w:t>
      </w:r>
    </w:p>
    <w:p>
      <w:pPr>
        <w:pStyle w:val="ListBullet"/>
      </w:pPr>
      <w:r>
        <w:t>A Property Action List with one readable card per property.</w:t>
      </w:r>
    </w:p>
    <w:p>
      <w:pPr>
        <w:pStyle w:val="ListBullet"/>
      </w:pPr>
      <w:r>
        <w:t>Follow-up notes that can be used to update the manager file, request missing information, or route work for review.</w:t>
      </w:r>
    </w:p>
    <w:p>
      <w:pPr>
        <w:pStyle w:val="ListBullet"/>
      </w:pPr>
      <w:r>
        <w:t>A clear reminder that county-source values should be reviewed before being treated as verified.</w:t>
      </w:r>
    </w:p>
    <w:p>
      <w:r>
        <w:br w:type="page"/>
      </w:r>
    </w:p>
    <w:p>
      <w:pPr>
        <w:pStyle w:val="Heading1"/>
      </w:pPr>
      <w:r>
        <w:t>6. Suggested manager workflow after receiving the report</w:t>
      </w:r>
    </w:p>
    <w:tbl>
      <w:tblPr>
        <w:tblStyle w:val="TableGrid"/>
        <w:tblW w:type="auto" w:w="0"/>
        <w:jc w:val="center"/>
        <w:tblLook w:firstColumn="1" w:firstRow="1" w:lastColumn="0" w:lastRow="0" w:noHBand="0" w:noVBand="1" w:val="04A0"/>
      </w:tblPr>
      <w:tblGrid>
        <w:gridCol w:w="5328"/>
        <w:gridCol w:w="5328"/>
      </w:tblGrid>
      <w:tr>
        <w:tc>
          <w:tcPr>
            <w:tcW w:type="dxa" w:w="864"/>
            <w:shd w:fill="12355B"/>
            <w:vAlign w:val="top"/>
          </w:tcPr>
          <w:p>
            <w:r/>
            <w:r>
              <w:rPr>
                <w:b/>
                <w:color w:val="FFFFFF"/>
                <w:sz w:val="20"/>
              </w:rPr>
              <w:t>#</w:t>
            </w:r>
          </w:p>
        </w:tc>
        <w:tc>
          <w:tcPr>
            <w:tcW w:type="dxa" w:w="8928"/>
            <w:shd w:fill="12355B"/>
            <w:vAlign w:val="top"/>
          </w:tcPr>
          <w:p>
            <w:r/>
            <w:r>
              <w:rPr>
                <w:b/>
                <w:color w:val="FFFFFF"/>
                <w:sz w:val="20"/>
              </w:rPr>
              <w:t>Action</w:t>
            </w:r>
          </w:p>
        </w:tc>
      </w:tr>
      <w:tr>
        <w:tc>
          <w:tcPr>
            <w:tcW w:type="dxa" w:w="864"/>
            <w:vAlign w:val="top"/>
          </w:tcPr>
          <w:p>
            <w:r/>
            <w:r>
              <w:rPr>
                <w:b/>
                <w:color w:val="12355B"/>
                <w:sz w:val="20"/>
              </w:rPr>
              <w:t>1</w:t>
            </w:r>
          </w:p>
        </w:tc>
        <w:tc>
          <w:tcPr>
            <w:tcW w:type="dxa" w:w="8928"/>
            <w:vAlign w:val="top"/>
          </w:tcPr>
          <w:p>
            <w:r/>
            <w:r>
              <w:rPr>
                <w:b w:val="0"/>
                <w:sz w:val="20"/>
              </w:rPr>
              <w:t>Confirm property addresses and counties.</w:t>
            </w:r>
          </w:p>
        </w:tc>
      </w:tr>
      <w:tr>
        <w:tc>
          <w:tcPr>
            <w:tcW w:type="dxa" w:w="864"/>
            <w:vAlign w:val="top"/>
          </w:tcPr>
          <w:p>
            <w:r/>
            <w:r>
              <w:rPr>
                <w:b/>
                <w:color w:val="12355B"/>
                <w:sz w:val="20"/>
              </w:rPr>
              <w:t>2</w:t>
            </w:r>
          </w:p>
        </w:tc>
        <w:tc>
          <w:tcPr>
            <w:tcW w:type="dxa" w:w="8928"/>
            <w:vAlign w:val="top"/>
          </w:tcPr>
          <w:p>
            <w:r/>
            <w:r>
              <w:rPr>
                <w:b w:val="0"/>
                <w:sz w:val="20"/>
              </w:rPr>
              <w:t>Review any rows with missing manager year, owner/LLC, or documentation fields.</w:t>
            </w:r>
          </w:p>
        </w:tc>
      </w:tr>
      <w:tr>
        <w:tc>
          <w:tcPr>
            <w:tcW w:type="dxa" w:w="864"/>
            <w:vAlign w:val="top"/>
          </w:tcPr>
          <w:p>
            <w:r/>
            <w:r>
              <w:rPr>
                <w:b/>
                <w:color w:val="12355B"/>
                <w:sz w:val="20"/>
              </w:rPr>
              <w:t>3</w:t>
            </w:r>
          </w:p>
        </w:tc>
        <w:tc>
          <w:tcPr>
            <w:tcW w:type="dxa" w:w="8928"/>
            <w:vAlign w:val="top"/>
          </w:tcPr>
          <w:p>
            <w:r/>
            <w:r>
              <w:rPr>
                <w:b w:val="0"/>
                <w:sz w:val="20"/>
              </w:rPr>
              <w:t>Use county year and parcel/PIN to research the property record when needed.</w:t>
            </w:r>
          </w:p>
        </w:tc>
      </w:tr>
      <w:tr>
        <w:tc>
          <w:tcPr>
            <w:tcW w:type="dxa" w:w="864"/>
            <w:vAlign w:val="top"/>
          </w:tcPr>
          <w:p>
            <w:r/>
            <w:r>
              <w:rPr>
                <w:b/>
                <w:color w:val="12355B"/>
                <w:sz w:val="20"/>
              </w:rPr>
              <w:t>4</w:t>
            </w:r>
          </w:p>
        </w:tc>
        <w:tc>
          <w:tcPr>
            <w:tcW w:type="dxa" w:w="8928"/>
            <w:vAlign w:val="top"/>
          </w:tcPr>
          <w:p>
            <w:r/>
            <w:r>
              <w:rPr>
                <w:b w:val="0"/>
                <w:sz w:val="20"/>
              </w:rPr>
              <w:t>Separate post-1977 properties from properties that may need pre-1978 lead-safe review.</w:t>
            </w:r>
          </w:p>
        </w:tc>
      </w:tr>
      <w:tr>
        <w:tc>
          <w:tcPr>
            <w:tcW w:type="dxa" w:w="864"/>
            <w:vAlign w:val="top"/>
          </w:tcPr>
          <w:p>
            <w:r/>
            <w:r>
              <w:rPr>
                <w:b/>
                <w:color w:val="12355B"/>
                <w:sz w:val="20"/>
              </w:rPr>
              <w:t>5</w:t>
            </w:r>
          </w:p>
        </w:tc>
        <w:tc>
          <w:tcPr>
            <w:tcW w:type="dxa" w:w="8928"/>
            <w:vAlign w:val="top"/>
          </w:tcPr>
          <w:p>
            <w:r/>
            <w:r>
              <w:rPr>
                <w:b w:val="0"/>
                <w:sz w:val="20"/>
              </w:rPr>
              <w:t>For properties needing repair, renovation, painting, turnover, or owner follow-up, attach documentation notes and mark verification status.</w:t>
            </w:r>
          </w:p>
        </w:tc>
      </w:tr>
      <w:tr>
        <w:tc>
          <w:tcPr>
            <w:tcW w:type="dxa" w:w="864"/>
            <w:vAlign w:val="top"/>
          </w:tcPr>
          <w:p>
            <w:r/>
            <w:r>
              <w:rPr>
                <w:b/>
                <w:color w:val="12355B"/>
                <w:sz w:val="20"/>
              </w:rPr>
              <w:t>6</w:t>
            </w:r>
          </w:p>
        </w:tc>
        <w:tc>
          <w:tcPr>
            <w:tcW w:type="dxa" w:w="8928"/>
            <w:vAlign w:val="top"/>
          </w:tcPr>
          <w:p>
            <w:r/>
            <w:r>
              <w:rPr>
                <w:b w:val="0"/>
                <w:sz w:val="20"/>
              </w:rPr>
              <w:t>Update the manager file only after review, then rerun or regenerate the report if needed.</w:t>
            </w:r>
          </w:p>
        </w:tc>
      </w:tr>
    </w:tbl>
    <w:p>
      <w:pPr>
        <w:pStyle w:val="Heading1"/>
      </w:pPr>
      <w:r>
        <w:t>7. Plain-English sample user explanation</w:t>
      </w:r>
    </w:p>
    <w:p>
      <w:r>
        <w:t>This sample shows how Triad LeadClean takes a property list and turns it into a practical follow-up report. The report does not say a property is legally cleared or certified. It helps identify what is missing, what matched county data, which rows need documentation review, and what action should happen next. The value is organization, source tracking, and a cleaner manager workflow.</w:t>
      </w:r>
    </w:p>
    <w:p>
      <w:pPr>
        <w:pStyle w:val="Heading1"/>
      </w:pPr>
      <w:r>
        <w:t>8. Important limits</w:t>
      </w:r>
    </w:p>
    <w:p>
      <w:pPr>
        <w:pStyle w:val="ListBullet"/>
      </w:pPr>
      <w:r>
        <w:t>This is an intake, sorting, and documentation workflow.</w:t>
      </w:r>
    </w:p>
    <w:p>
      <w:pPr>
        <w:pStyle w:val="ListBullet"/>
      </w:pPr>
      <w:r>
        <w:rPr>
          <w:b/>
        </w:rPr>
        <w:t>This is not legal advice.</w:t>
      </w:r>
    </w:p>
    <w:p>
      <w:pPr>
        <w:pStyle w:val="ListBullet"/>
      </w:pPr>
      <w:r>
        <w:rPr>
          <w:b/>
        </w:rPr>
        <w:t>This is not a lead inspection, risk assessment, clearance test, or certification.</w:t>
      </w:r>
    </w:p>
    <w:p>
      <w:pPr>
        <w:pStyle w:val="ListBullet"/>
      </w:pPr>
      <w:r>
        <w:t>County/public source data can contain errors or outdated information and should be human-reviewed.</w:t>
      </w:r>
    </w:p>
    <w:p>
      <w:pPr>
        <w:pStyle w:val="ListBullet"/>
      </w:pPr>
      <w:r>
        <w:rPr>
          <w:b/>
        </w:rPr>
        <w:t>A qualified professional should be used where laws, certifications, testing, or renovation rules require one.</w:t>
      </w:r>
    </w:p>
    <w:p>
      <w:pPr>
        <w:pStyle w:val="Heading1"/>
      </w:pPr>
      <w:r>
        <w:t>Sources and context</w:t>
      </w:r>
    </w:p>
    <w:p>
      <w:pPr>
        <w:pStyle w:val="ListBullet"/>
      </w:pPr>
      <w:r>
        <w:t>Triad LeadClean sample report PDF, version v23.6.4, generated from the Davidson sample workflow.</w:t>
      </w:r>
    </w:p>
    <w:p>
      <w:pPr>
        <w:pStyle w:val="ListBullet"/>
      </w:pPr>
      <w:r>
        <w:t>EPA/HUD Lead-Based Paint Disclosure Rule materials: most housing built before 1978 is the key screening category for lead-disclosure review.</w:t>
      </w:r>
    </w:p>
    <w:p>
      <w:pPr>
        <w:pStyle w:val="ListBullet"/>
      </w:pPr>
      <w:r>
        <w:t>EPA lead-safe renovation/repair/painting context: pre-1978 housing and renovation/repair/painting activity are important review triggers.</w:t>
      </w:r>
    </w:p>
    <w:sectPr w:rsidR="00FC693F" w:rsidRPr="0006063C" w:rsidSect="00034616">
      <w:headerReference w:type="default" r:id="rId9"/>
      <w:footerReference w:type="default" r:id="rId10"/>
      <w:pgSz w:w="12240" w:h="15840"/>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F6C7B"/>
        <w:sz w:val="16"/>
      </w:rPr>
      <w:t>For sample user review only | Intake, sorting, and documentation workflow | Not legal advice or inspection certification</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5F6C7B"/>
        <w:sz w:val="18"/>
      </w:rPr>
      <w:t>Triad LeadClean | Sample Report User Guide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2355B"/>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2355B"/>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2355B"/>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2355B"/>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